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CCCA" w14:textId="330815A8" w:rsidR="008302F2" w:rsidRPr="008302F2" w:rsidRDefault="008302F2" w:rsidP="008302F2">
      <w:pPr>
        <w:jc w:val="center"/>
        <w:rPr>
          <w:rFonts w:ascii="Kristen ITC" w:hAnsi="Kristen ITC"/>
          <w:b/>
          <w:iCs/>
          <w:color w:val="00B050"/>
          <w:sz w:val="28"/>
          <w:szCs w:val="28"/>
        </w:rPr>
      </w:pPr>
      <w:r w:rsidRPr="008302F2">
        <w:rPr>
          <w:rFonts w:ascii="Kristen ITC" w:hAnsi="Kristen ITC"/>
          <w:b/>
          <w:iCs/>
          <w:color w:val="00B050"/>
          <w:sz w:val="28"/>
          <w:szCs w:val="28"/>
        </w:rPr>
        <w:t>FASCIA 0-6 ANNI</w:t>
      </w:r>
    </w:p>
    <w:p w14:paraId="2EE36386" w14:textId="77777777" w:rsidR="008302F2" w:rsidRDefault="008302F2" w:rsidP="008302F2">
      <w:pPr>
        <w:rPr>
          <w:rFonts w:ascii="Kristen ITC" w:hAnsi="Kristen ITC" w:cstheme="minorHAnsi"/>
          <w:b/>
          <w:bCs/>
          <w:color w:val="00B050"/>
          <w:shd w:val="clear" w:color="auto" w:fill="FFFFFF"/>
        </w:rPr>
      </w:pPr>
    </w:p>
    <w:p w14:paraId="49F4EEB0" w14:textId="77777777" w:rsidR="008302F2" w:rsidRPr="008302F2" w:rsidRDefault="008302F2" w:rsidP="008302F2">
      <w:pPr>
        <w:rPr>
          <w:rFonts w:ascii="Kristen ITC" w:hAnsi="Kristen ITC"/>
          <w:b/>
          <w:iCs/>
          <w:color w:val="00B050"/>
          <w:sz w:val="24"/>
          <w:szCs w:val="24"/>
        </w:rPr>
      </w:pPr>
      <w:r w:rsidRPr="008302F2">
        <w:rPr>
          <w:rFonts w:ascii="Kristen ITC" w:hAnsi="Kristen ITC"/>
          <w:b/>
          <w:iCs/>
          <w:color w:val="00B050"/>
          <w:sz w:val="24"/>
          <w:szCs w:val="24"/>
        </w:rPr>
        <w:t xml:space="preserve">TESTI DI RIFERIMENTO </w:t>
      </w:r>
    </w:p>
    <w:p w14:paraId="5475B565" w14:textId="77777777" w:rsidR="008302F2" w:rsidRPr="008302F2" w:rsidRDefault="008302F2" w:rsidP="008302F2">
      <w:pPr>
        <w:rPr>
          <w:bCs/>
          <w:sz w:val="18"/>
          <w:szCs w:val="18"/>
        </w:rPr>
      </w:pPr>
    </w:p>
    <w:p w14:paraId="42BCCD44" w14:textId="77777777" w:rsidR="008302F2" w:rsidRPr="008302F2" w:rsidRDefault="008302F2" w:rsidP="008302F2">
      <w:pPr>
        <w:rPr>
          <w:bCs/>
          <w:sz w:val="24"/>
          <w:szCs w:val="24"/>
        </w:rPr>
      </w:pPr>
      <w:r w:rsidRPr="008302F2">
        <w:rPr>
          <w:bCs/>
          <w:sz w:val="24"/>
          <w:szCs w:val="24"/>
        </w:rPr>
        <w:t>CEI,</w:t>
      </w:r>
      <w:r w:rsidRPr="008302F2">
        <w:rPr>
          <w:bCs/>
          <w:i/>
          <w:sz w:val="24"/>
          <w:szCs w:val="24"/>
        </w:rPr>
        <w:t xml:space="preserve"> Lasciate che i bambini vengano a me, </w:t>
      </w:r>
      <w:r w:rsidRPr="008302F2">
        <w:rPr>
          <w:bCs/>
          <w:sz w:val="24"/>
          <w:szCs w:val="24"/>
        </w:rPr>
        <w:t>LEV 1992.</w:t>
      </w:r>
    </w:p>
    <w:p w14:paraId="601B80EB" w14:textId="77777777" w:rsidR="008302F2" w:rsidRPr="008302F2" w:rsidRDefault="008302F2" w:rsidP="008302F2">
      <w:pPr>
        <w:rPr>
          <w:bCs/>
          <w:sz w:val="24"/>
          <w:szCs w:val="24"/>
        </w:rPr>
      </w:pPr>
      <w:r w:rsidRPr="008302F2">
        <w:rPr>
          <w:bCs/>
          <w:sz w:val="24"/>
          <w:szCs w:val="24"/>
        </w:rPr>
        <w:t xml:space="preserve">UCN, </w:t>
      </w:r>
      <w:r w:rsidRPr="008302F2">
        <w:rPr>
          <w:bCs/>
          <w:i/>
          <w:sz w:val="24"/>
          <w:szCs w:val="24"/>
        </w:rPr>
        <w:t>Incontro ai catechismi. Itinerario per la vita cristiana</w:t>
      </w:r>
      <w:r w:rsidRPr="008302F2">
        <w:rPr>
          <w:bCs/>
          <w:sz w:val="24"/>
          <w:szCs w:val="24"/>
        </w:rPr>
        <w:t>, LEV 2000, pp. 30-35; 84-105.</w:t>
      </w:r>
    </w:p>
    <w:p w14:paraId="1A2DA1B2" w14:textId="77777777" w:rsidR="008302F2" w:rsidRPr="008302F2" w:rsidRDefault="008302F2" w:rsidP="008302F2">
      <w:pPr>
        <w:rPr>
          <w:bCs/>
          <w:sz w:val="24"/>
          <w:szCs w:val="24"/>
        </w:rPr>
      </w:pPr>
      <w:r w:rsidRPr="008302F2">
        <w:rPr>
          <w:bCs/>
          <w:sz w:val="24"/>
          <w:szCs w:val="24"/>
        </w:rPr>
        <w:t xml:space="preserve">UCN, </w:t>
      </w:r>
      <w:r w:rsidRPr="008302F2">
        <w:rPr>
          <w:bCs/>
          <w:i/>
          <w:sz w:val="24"/>
          <w:szCs w:val="24"/>
        </w:rPr>
        <w:t>Nota per l’accoglienza e l’utilizzazione del catechismo “Lasciate che i bambini vengano a me”</w:t>
      </w:r>
      <w:r w:rsidRPr="008302F2">
        <w:rPr>
          <w:bCs/>
          <w:sz w:val="24"/>
          <w:szCs w:val="24"/>
        </w:rPr>
        <w:t>, 1992.</w:t>
      </w:r>
    </w:p>
    <w:p w14:paraId="63A0F9D6" w14:textId="77777777" w:rsidR="008302F2" w:rsidRPr="008302F2" w:rsidRDefault="008302F2" w:rsidP="008302F2">
      <w:pPr>
        <w:rPr>
          <w:bCs/>
          <w:spacing w:val="-2"/>
          <w:sz w:val="24"/>
          <w:szCs w:val="24"/>
        </w:rPr>
      </w:pPr>
      <w:r w:rsidRPr="008302F2">
        <w:rPr>
          <w:bCs/>
          <w:spacing w:val="-2"/>
          <w:sz w:val="24"/>
          <w:szCs w:val="24"/>
        </w:rPr>
        <w:t xml:space="preserve">UCN, </w:t>
      </w:r>
      <w:r w:rsidRPr="008302F2">
        <w:rPr>
          <w:bCs/>
          <w:i/>
          <w:iCs/>
          <w:spacing w:val="-2"/>
          <w:sz w:val="24"/>
          <w:szCs w:val="24"/>
        </w:rPr>
        <w:t xml:space="preserve">Itinerario per la vita cristiana. Linee e contenuti del progetto catechistico italiano, </w:t>
      </w:r>
      <w:r w:rsidRPr="008302F2">
        <w:rPr>
          <w:bCs/>
          <w:spacing w:val="-2"/>
          <w:sz w:val="24"/>
          <w:szCs w:val="24"/>
        </w:rPr>
        <w:t>LDC, 1985, pp. 29-39.</w:t>
      </w:r>
    </w:p>
    <w:p w14:paraId="319D6E38" w14:textId="77777777" w:rsidR="008302F2" w:rsidRPr="008302F2" w:rsidRDefault="008302F2" w:rsidP="008302F2">
      <w:pPr>
        <w:rPr>
          <w:bCs/>
          <w:sz w:val="18"/>
          <w:szCs w:val="18"/>
        </w:rPr>
      </w:pPr>
    </w:p>
    <w:p w14:paraId="7F9A2E43" w14:textId="77777777" w:rsidR="008302F2" w:rsidRPr="008302F2" w:rsidRDefault="008302F2" w:rsidP="008302F2">
      <w:pPr>
        <w:rPr>
          <w:rFonts w:cstheme="minorHAnsi"/>
          <w:i/>
          <w:iCs/>
          <w:sz w:val="24"/>
          <w:szCs w:val="24"/>
          <w:shd w:val="clear" w:color="auto" w:fill="FFFFFF"/>
        </w:rPr>
      </w:pPr>
      <w:r w:rsidRPr="008302F2">
        <w:rPr>
          <w:rFonts w:cstheme="minorHAnsi"/>
          <w:i/>
          <w:iCs/>
          <w:sz w:val="24"/>
          <w:szCs w:val="24"/>
        </w:rPr>
        <w:t xml:space="preserve">Il catechismo </w:t>
      </w:r>
      <w:r w:rsidRPr="008302F2">
        <w:rPr>
          <w:rFonts w:cstheme="minorHAnsi"/>
          <w:b/>
          <w:bCs/>
          <w:sz w:val="24"/>
          <w:szCs w:val="24"/>
        </w:rPr>
        <w:t xml:space="preserve">Lasciate che i bambini vengano a me </w:t>
      </w:r>
      <w:r w:rsidRPr="008302F2">
        <w:rPr>
          <w:rFonts w:cstheme="minorHAnsi"/>
          <w:i/>
          <w:iCs/>
          <w:sz w:val="24"/>
          <w:szCs w:val="24"/>
        </w:rPr>
        <w:t xml:space="preserve">aiuta gli adulti a educare i bambini alla fede con fiducia nelle proprie possibilità, nei modi adatti a loro, con amore, con gioia e con semplicità, con la testimonianza di vita, con i gesti e con la parola. Intende favorire l’incontro dei </w:t>
      </w:r>
      <w:r w:rsidRPr="008302F2">
        <w:rPr>
          <w:rFonts w:cstheme="minorHAnsi"/>
          <w:bCs/>
          <w:i/>
          <w:iCs/>
          <w:sz w:val="24"/>
          <w:szCs w:val="24"/>
        </w:rPr>
        <w:t>bambini</w:t>
      </w:r>
      <w:r w:rsidRPr="008302F2">
        <w:rPr>
          <w:rFonts w:cstheme="minorHAnsi"/>
          <w:i/>
          <w:iCs/>
          <w:sz w:val="24"/>
          <w:szCs w:val="24"/>
        </w:rPr>
        <w:t xml:space="preserve"> con Gesù e aiutarli a crescere come lui. Offre risposte alle loro domande, vuole soddisfare il loro desiderio di conoscere il Padre che è nei cieli, di affidarsi a lui, di accogliere il suo amore e di ricambiarlo, aiutandoli a riconoscere la presenza di Dio e dei suoi doni, a intuire il significato della sua provvidenza, della fratellanza tra le creature, ad amarlo come lui ci ama, ad essere amici di Gesù, a dialogare con il Padre e sentire la gioia di questo dialogo.</w:t>
      </w:r>
    </w:p>
    <w:p w14:paraId="58EDAAF6" w14:textId="77777777" w:rsidR="008302F2" w:rsidRPr="008302F2" w:rsidRDefault="008302F2" w:rsidP="008302F2">
      <w:pPr>
        <w:rPr>
          <w:bCs/>
          <w:i/>
          <w:iCs/>
          <w:sz w:val="24"/>
          <w:szCs w:val="24"/>
        </w:rPr>
      </w:pPr>
    </w:p>
    <w:p w14:paraId="30C48B7D" w14:textId="77777777" w:rsidR="008302F2" w:rsidRPr="008302F2" w:rsidRDefault="008302F2" w:rsidP="008302F2">
      <w:pPr>
        <w:rPr>
          <w:rFonts w:ascii="Kristen ITC" w:hAnsi="Kristen ITC" w:cstheme="minorHAnsi"/>
          <w:b/>
          <w:color w:val="00B050"/>
          <w:sz w:val="24"/>
          <w:szCs w:val="24"/>
          <w:shd w:val="clear" w:color="auto" w:fill="FFFFFF"/>
        </w:rPr>
      </w:pPr>
    </w:p>
    <w:p w14:paraId="7F28185E" w14:textId="77777777" w:rsidR="008302F2" w:rsidRPr="008302F2" w:rsidRDefault="008302F2" w:rsidP="008302F2">
      <w:pPr>
        <w:rPr>
          <w:rFonts w:ascii="Kristen ITC" w:hAnsi="Kristen ITC" w:cstheme="minorHAnsi"/>
          <w:b/>
          <w:color w:val="00B050"/>
          <w:sz w:val="24"/>
          <w:szCs w:val="24"/>
          <w:shd w:val="clear" w:color="auto" w:fill="FFFFFF"/>
        </w:rPr>
      </w:pPr>
      <w:r w:rsidRPr="008302F2">
        <w:rPr>
          <w:rFonts w:ascii="Kristen ITC" w:hAnsi="Kristen ITC" w:cstheme="minorHAnsi"/>
          <w:b/>
          <w:color w:val="00B050"/>
          <w:sz w:val="24"/>
          <w:szCs w:val="24"/>
          <w:shd w:val="clear" w:color="auto" w:fill="FFFFFF"/>
        </w:rPr>
        <w:t>DESCRIZIONE DELL’ETÀ</w:t>
      </w:r>
    </w:p>
    <w:p w14:paraId="403BC5CF" w14:textId="77777777" w:rsidR="008302F2" w:rsidRPr="008302F2" w:rsidRDefault="008302F2" w:rsidP="008302F2">
      <w:pPr>
        <w:rPr>
          <w:bCs/>
          <w:sz w:val="18"/>
          <w:szCs w:val="18"/>
        </w:rPr>
      </w:pPr>
    </w:p>
    <w:p w14:paraId="5020732F" w14:textId="77777777" w:rsidR="008302F2" w:rsidRPr="008302F2" w:rsidRDefault="008302F2" w:rsidP="008302F2">
      <w:pPr>
        <w:rPr>
          <w:iCs/>
          <w:sz w:val="24"/>
          <w:szCs w:val="24"/>
        </w:rPr>
      </w:pPr>
      <w:r w:rsidRPr="008302F2">
        <w:rPr>
          <w:iCs/>
          <w:sz w:val="24"/>
          <w:szCs w:val="24"/>
        </w:rPr>
        <w:t xml:space="preserve">La giovane coppia vive le gioie e le ansie della genitorialità, mentre si trova a dover rimodellare la relazione tra gli sposi dopo l’arrivo del nuovo nato. Tra le questioni poste da questa inedita situazione si colloca, soprattutto in contesti ancora segnati dalla tradizione, quella del battesimo. È una fase molto delicata, soprattutto per le coppie non unite da matrimonio sacramentale e per quelle – la maggioranza – lontane ormai da anni dalla pratica religiosa e dall’appartenenza alla comunità. Si tratta di gestire le pressioni dei genitori, la fatica di riaprire la relazione con la Chiesa e la percezione di scarsa rilevanza esistenziale attribuita alla fede, ma anche il nuovo senso di responsabilità che nasce dall’esigenza di educare il proprio figlio e di fare per lui le scelte più giuste. </w:t>
      </w:r>
    </w:p>
    <w:p w14:paraId="07EFBBE0" w14:textId="77777777" w:rsidR="008302F2" w:rsidRPr="008302F2" w:rsidRDefault="008302F2" w:rsidP="008302F2">
      <w:pPr>
        <w:rPr>
          <w:iCs/>
          <w:sz w:val="24"/>
          <w:szCs w:val="24"/>
        </w:rPr>
      </w:pPr>
      <w:r w:rsidRPr="008302F2">
        <w:rPr>
          <w:iCs/>
          <w:sz w:val="24"/>
          <w:szCs w:val="24"/>
        </w:rPr>
        <w:t>I bambini piccoli emergono gradualmente alla consapevolezza di sé, degli altri e del mondo, con uno sviluppo intenso a tutti i livelli, nella relazione fondamentale con i genitori. Attraverso di loro possono intuire e amare la bontà della vita, la positività degli altri, la bellezza del mondo. La contemplazione estatica delle cose sempre nuove li dispone a esprimere un innato senso religioso.</w:t>
      </w:r>
    </w:p>
    <w:p w14:paraId="13074623" w14:textId="77777777" w:rsidR="008302F2" w:rsidRPr="008302F2" w:rsidRDefault="008302F2" w:rsidP="008302F2">
      <w:pPr>
        <w:jc w:val="left"/>
        <w:rPr>
          <w:iCs/>
          <w:sz w:val="24"/>
          <w:szCs w:val="24"/>
        </w:rPr>
      </w:pPr>
    </w:p>
    <w:p w14:paraId="191A6450" w14:textId="77777777" w:rsidR="008302F2" w:rsidRPr="008302F2" w:rsidRDefault="008302F2" w:rsidP="008302F2">
      <w:pPr>
        <w:jc w:val="left"/>
        <w:rPr>
          <w:iCs/>
          <w:sz w:val="24"/>
          <w:szCs w:val="24"/>
        </w:rPr>
      </w:pPr>
    </w:p>
    <w:p w14:paraId="2487225D" w14:textId="77777777" w:rsidR="008302F2" w:rsidRPr="008302F2" w:rsidRDefault="008302F2" w:rsidP="008302F2">
      <w:pPr>
        <w:rPr>
          <w:rFonts w:ascii="Kristen ITC" w:hAnsi="Kristen ITC" w:cstheme="minorHAnsi"/>
          <w:b/>
          <w:color w:val="00B050"/>
          <w:sz w:val="24"/>
          <w:szCs w:val="24"/>
          <w:shd w:val="clear" w:color="auto" w:fill="FFFFFF"/>
        </w:rPr>
      </w:pPr>
      <w:r w:rsidRPr="008302F2">
        <w:rPr>
          <w:rFonts w:ascii="Kristen ITC" w:hAnsi="Kristen ITC" w:cstheme="minorHAnsi"/>
          <w:b/>
          <w:color w:val="00B050"/>
          <w:sz w:val="24"/>
          <w:szCs w:val="24"/>
          <w:shd w:val="clear" w:color="auto" w:fill="FFFFFF"/>
        </w:rPr>
        <w:t>META GENERALE</w:t>
      </w:r>
    </w:p>
    <w:p w14:paraId="6F3E0055" w14:textId="77777777" w:rsidR="008302F2" w:rsidRPr="008302F2" w:rsidRDefault="008302F2" w:rsidP="008302F2">
      <w:pPr>
        <w:rPr>
          <w:bCs/>
          <w:sz w:val="18"/>
          <w:szCs w:val="18"/>
        </w:rPr>
      </w:pPr>
    </w:p>
    <w:p w14:paraId="389F9FB6" w14:textId="77777777" w:rsidR="008302F2" w:rsidRPr="008302F2" w:rsidRDefault="008302F2" w:rsidP="008302F2">
      <w:pPr>
        <w:rPr>
          <w:b/>
          <w:iCs/>
          <w:sz w:val="24"/>
          <w:szCs w:val="24"/>
        </w:rPr>
      </w:pPr>
      <w:r w:rsidRPr="008302F2">
        <w:rPr>
          <w:b/>
          <w:iCs/>
          <w:sz w:val="24"/>
          <w:szCs w:val="24"/>
        </w:rPr>
        <w:t>Attenzioni pastorali</w:t>
      </w:r>
    </w:p>
    <w:p w14:paraId="5EBED312" w14:textId="77777777" w:rsidR="008302F2" w:rsidRPr="008302F2" w:rsidRDefault="008302F2" w:rsidP="008302F2">
      <w:pPr>
        <w:tabs>
          <w:tab w:val="left" w:pos="1932"/>
        </w:tabs>
        <w:rPr>
          <w:iCs/>
          <w:sz w:val="24"/>
          <w:szCs w:val="24"/>
        </w:rPr>
      </w:pPr>
      <w:r w:rsidRPr="008302F2">
        <w:rPr>
          <w:iCs/>
          <w:sz w:val="24"/>
          <w:szCs w:val="24"/>
        </w:rPr>
        <w:t xml:space="preserve">Nei primi anni di vita (ma non più per tutti nel primo anno) avviene la celebrazione del battesimo, che per molti genitori è l’opportunità di riprendere contatto con il messaggio cristiano e di riavvicinarsi alla comunità. La preparazione alla celebrazione e il successivo percorso </w:t>
      </w:r>
      <w:r w:rsidRPr="008302F2">
        <w:rPr>
          <w:iCs/>
          <w:sz w:val="24"/>
          <w:szCs w:val="24"/>
        </w:rPr>
        <w:lastRenderedPageBreak/>
        <w:t>mistagogico hanno come principali protagonisti la coppia e la famiglia; il bambino è coinvolto per lo più indirettamente, anche se tutti i soggetti hanno a cuore la sua persona e la sua crescita.</w:t>
      </w:r>
    </w:p>
    <w:p w14:paraId="59B43E17" w14:textId="77777777" w:rsidR="008302F2" w:rsidRPr="008302F2" w:rsidRDefault="008302F2" w:rsidP="008302F2">
      <w:pPr>
        <w:rPr>
          <w:iCs/>
          <w:sz w:val="24"/>
          <w:szCs w:val="24"/>
        </w:rPr>
      </w:pPr>
      <w:r w:rsidRPr="008302F2">
        <w:rPr>
          <w:iCs/>
          <w:sz w:val="24"/>
          <w:szCs w:val="24"/>
        </w:rPr>
        <w:t xml:space="preserve">La situazione di molte coppie (conviventi, sposate civilmente, omogenitoriali…) rende questa fase molto delicata: è necessario un atteggiamento di accoglienza e comprensione, che comunichi apprezzamento per la volontà di dare al proprio figlio un’educazione cristiana e la gioia per il rinnovato incontro con la Chiesa, di cui tale circostanza è occasione. </w:t>
      </w:r>
      <w:proofErr w:type="gramStart"/>
      <w:r w:rsidRPr="008302F2">
        <w:rPr>
          <w:iCs/>
          <w:sz w:val="24"/>
          <w:szCs w:val="24"/>
        </w:rPr>
        <w:t>D’altra parte</w:t>
      </w:r>
      <w:proofErr w:type="gramEnd"/>
      <w:r w:rsidRPr="008302F2">
        <w:rPr>
          <w:iCs/>
          <w:sz w:val="24"/>
          <w:szCs w:val="24"/>
        </w:rPr>
        <w:t xml:space="preserve"> non va data per scontata né la fede, né la comprensione del significato del sacramento, né la volontà di percorrere, insieme ai figli, l’itinerario dell’iniziazione nella comunità cristiana. A tale scopo, è decisivo che tutto ciò avvenga nella comunità di residenza o in quella di “elezione”. Nel percorso di preparazione, nella celebrazione del sacramento e nell’itinerario mistagogico sono coinvolti, oltre che i catechisti, anche altre coppie di sposi (genitori e nonni) e altri soggetti della comunità, in modo che i genitori e i bambini facciano esperienza di un ambiente affettuoso, espressione dell’amore di Dio, in cui il loro ruolo di educatori e la crescita dei loro figli trovano adeguato sostegno. </w:t>
      </w:r>
    </w:p>
    <w:p w14:paraId="72BEEF6A" w14:textId="77777777" w:rsidR="008302F2" w:rsidRPr="008302F2" w:rsidRDefault="008302F2" w:rsidP="008302F2">
      <w:pPr>
        <w:rPr>
          <w:iCs/>
          <w:sz w:val="24"/>
          <w:szCs w:val="24"/>
        </w:rPr>
      </w:pPr>
      <w:r w:rsidRPr="008302F2">
        <w:rPr>
          <w:iCs/>
          <w:sz w:val="24"/>
          <w:szCs w:val="24"/>
        </w:rPr>
        <w:t>Compiuti i tre anni, la maggior parte dei bambini si trova a vivere l’esperienza della scuola dell’infanzia: le capacità cognitive ed espressive permettono di considerarli veri soggetti delle proposte educative e pastorali; sempre però insieme ai propri genitori, la cui presenza è presupposta in ogni iniziativa e il cui ruolo va comunque accompagnato e sostenuto dalla comunità. Appare decisiva la questione della liturgia domenicale, nella quale vanno pensate modalità di accoglienza e di partecipazione attiva dei più piccoli, la cui presenza non va mai sentita e fatta percepire come disturbante e fastidiosa o – peggio – inutile.</w:t>
      </w:r>
    </w:p>
    <w:p w14:paraId="21F3A767" w14:textId="77777777" w:rsidR="008302F2" w:rsidRPr="008302F2" w:rsidRDefault="008302F2" w:rsidP="008302F2">
      <w:pPr>
        <w:rPr>
          <w:bCs/>
          <w:sz w:val="18"/>
          <w:szCs w:val="18"/>
        </w:rPr>
      </w:pPr>
    </w:p>
    <w:p w14:paraId="1B69D17E" w14:textId="77777777" w:rsidR="008302F2" w:rsidRPr="008302F2" w:rsidRDefault="008302F2" w:rsidP="008302F2">
      <w:pPr>
        <w:rPr>
          <w:b/>
          <w:iCs/>
          <w:sz w:val="24"/>
          <w:szCs w:val="24"/>
        </w:rPr>
      </w:pPr>
      <w:r w:rsidRPr="008302F2">
        <w:rPr>
          <w:b/>
          <w:iCs/>
          <w:sz w:val="24"/>
          <w:szCs w:val="24"/>
        </w:rPr>
        <w:t>Meta generale</w:t>
      </w:r>
    </w:p>
    <w:p w14:paraId="459695A8" w14:textId="77777777" w:rsidR="008302F2" w:rsidRPr="008302F2" w:rsidRDefault="008302F2" w:rsidP="008302F2">
      <w:pPr>
        <w:rPr>
          <w:iCs/>
          <w:sz w:val="24"/>
          <w:szCs w:val="24"/>
        </w:rPr>
      </w:pPr>
      <w:r w:rsidRPr="008302F2">
        <w:rPr>
          <w:i/>
          <w:iCs/>
          <w:sz w:val="24"/>
          <w:szCs w:val="24"/>
        </w:rPr>
        <w:t>I genitori</w:t>
      </w:r>
      <w:r w:rsidRPr="008302F2">
        <w:rPr>
          <w:iCs/>
          <w:sz w:val="24"/>
          <w:szCs w:val="24"/>
        </w:rPr>
        <w:t xml:space="preserve"> accolgono la buona notizia dell’amore di Dio, sorgente di ogni vita e garante della dignità di ogni essere umano, e della predilezione di Gesù per i piccoli, ed esprimono gratitudine per il dono ricevuto nella nascita del proprio figlio. Comprendono il significato del battesimo che chiedono, disposti a celebrarlo nella comunità, come inizio di un cammino insieme ai fratelli. Partecipano agli appuntamenti della mistagogia battesimale e stringono relazioni con alcuni soggetti coinvolti nel processo. Valorizzano le occasioni familiari in cui entra in gioco la relazione con Dio, educando alla preghiera e proponendo i primi elementi della Bibbia e della fede. </w:t>
      </w:r>
    </w:p>
    <w:p w14:paraId="06084C5D" w14:textId="3CF8216D" w:rsidR="00D30ACF" w:rsidRPr="008302F2" w:rsidRDefault="008302F2" w:rsidP="008302F2">
      <w:pPr>
        <w:rPr>
          <w:sz w:val="24"/>
          <w:szCs w:val="24"/>
        </w:rPr>
      </w:pPr>
      <w:r w:rsidRPr="008302F2">
        <w:rPr>
          <w:i/>
          <w:iCs/>
          <w:sz w:val="24"/>
          <w:szCs w:val="24"/>
        </w:rPr>
        <w:t>I bambini</w:t>
      </w:r>
      <w:r w:rsidRPr="008302F2">
        <w:rPr>
          <w:iCs/>
          <w:sz w:val="24"/>
          <w:szCs w:val="24"/>
        </w:rPr>
        <w:t xml:space="preserve"> percepiscono la comunità come ambiente positivo e affettuoso: alcune persone diventano familiari, ed essi si sentono a casa nella famiglia di Gesù, partecipando agli appuntamenti del percorso, ma anche alle occasioni della vita comunitaria, a partire dalla liturgia domenicale. Si aprono alla relazione con Dio, intuito come Padre buono, e con Gesù, presentato come amico dei bambini.</w:t>
      </w:r>
    </w:p>
    <w:sectPr w:rsidR="00D30ACF" w:rsidRPr="008302F2" w:rsidSect="00C4176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F2"/>
    <w:rsid w:val="002433EB"/>
    <w:rsid w:val="003C089A"/>
    <w:rsid w:val="008302F2"/>
    <w:rsid w:val="00C41761"/>
    <w:rsid w:val="00D3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6F77"/>
  <w15:chartTrackingRefBased/>
  <w15:docId w15:val="{AE4ACF2F-BD41-450A-8A59-37E16665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02F2"/>
    <w:pPr>
      <w:spacing w:after="0" w:line="240" w:lineRule="auto"/>
      <w:jc w:val="both"/>
    </w:pPr>
    <w:rPr>
      <w:kern w:val="0"/>
      <w:lang w:val="it-IT"/>
      <w14:ligatures w14:val="none"/>
    </w:rPr>
  </w:style>
  <w:style w:type="paragraph" w:styleId="Titolo1">
    <w:name w:val="heading 1"/>
    <w:basedOn w:val="Normale"/>
    <w:next w:val="Normale"/>
    <w:link w:val="Titolo1Carattere"/>
    <w:uiPriority w:val="9"/>
    <w:qFormat/>
    <w:rsid w:val="008302F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olo2">
    <w:name w:val="heading 2"/>
    <w:basedOn w:val="Normale"/>
    <w:next w:val="Normale"/>
    <w:link w:val="Titolo2Carattere"/>
    <w:uiPriority w:val="9"/>
    <w:semiHidden/>
    <w:unhideWhenUsed/>
    <w:qFormat/>
    <w:rsid w:val="008302F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olo3">
    <w:name w:val="heading 3"/>
    <w:basedOn w:val="Normale"/>
    <w:next w:val="Normale"/>
    <w:link w:val="Titolo3Carattere"/>
    <w:uiPriority w:val="9"/>
    <w:semiHidden/>
    <w:unhideWhenUsed/>
    <w:qFormat/>
    <w:rsid w:val="008302F2"/>
    <w:pPr>
      <w:keepNext/>
      <w:keepLines/>
      <w:spacing w:before="160" w:after="80" w:line="259" w:lineRule="auto"/>
      <w:jc w:val="left"/>
      <w:outlineLvl w:val="2"/>
    </w:pPr>
    <w:rPr>
      <w:rFonts w:eastAsiaTheme="majorEastAsia" w:cstheme="majorBidi"/>
      <w:color w:val="0F4761" w:themeColor="accent1" w:themeShade="BF"/>
      <w:kern w:val="2"/>
      <w:sz w:val="28"/>
      <w:szCs w:val="28"/>
      <w:lang w:val="en-US"/>
      <w14:ligatures w14:val="standardContextual"/>
    </w:rPr>
  </w:style>
  <w:style w:type="paragraph" w:styleId="Titolo4">
    <w:name w:val="heading 4"/>
    <w:basedOn w:val="Normale"/>
    <w:next w:val="Normale"/>
    <w:link w:val="Titolo4Carattere"/>
    <w:uiPriority w:val="9"/>
    <w:semiHidden/>
    <w:unhideWhenUsed/>
    <w:qFormat/>
    <w:rsid w:val="008302F2"/>
    <w:pPr>
      <w:keepNext/>
      <w:keepLines/>
      <w:spacing w:before="80" w:after="40" w:line="259" w:lineRule="auto"/>
      <w:jc w:val="left"/>
      <w:outlineLvl w:val="3"/>
    </w:pPr>
    <w:rPr>
      <w:rFonts w:eastAsiaTheme="majorEastAsia" w:cstheme="majorBidi"/>
      <w:i/>
      <w:iCs/>
      <w:color w:val="0F4761" w:themeColor="accent1" w:themeShade="BF"/>
      <w:kern w:val="2"/>
      <w:lang w:val="en-US"/>
      <w14:ligatures w14:val="standardContextual"/>
    </w:rPr>
  </w:style>
  <w:style w:type="paragraph" w:styleId="Titolo5">
    <w:name w:val="heading 5"/>
    <w:basedOn w:val="Normale"/>
    <w:next w:val="Normale"/>
    <w:link w:val="Titolo5Carattere"/>
    <w:uiPriority w:val="9"/>
    <w:semiHidden/>
    <w:unhideWhenUsed/>
    <w:qFormat/>
    <w:rsid w:val="008302F2"/>
    <w:pPr>
      <w:keepNext/>
      <w:keepLines/>
      <w:spacing w:before="80" w:after="40" w:line="259" w:lineRule="auto"/>
      <w:jc w:val="left"/>
      <w:outlineLvl w:val="4"/>
    </w:pPr>
    <w:rPr>
      <w:rFonts w:eastAsiaTheme="majorEastAsia" w:cstheme="majorBidi"/>
      <w:color w:val="0F4761" w:themeColor="accent1" w:themeShade="BF"/>
      <w:kern w:val="2"/>
      <w:lang w:val="en-US"/>
      <w14:ligatures w14:val="standardContextual"/>
    </w:rPr>
  </w:style>
  <w:style w:type="paragraph" w:styleId="Titolo6">
    <w:name w:val="heading 6"/>
    <w:basedOn w:val="Normale"/>
    <w:next w:val="Normale"/>
    <w:link w:val="Titolo6Carattere"/>
    <w:uiPriority w:val="9"/>
    <w:semiHidden/>
    <w:unhideWhenUsed/>
    <w:qFormat/>
    <w:rsid w:val="008302F2"/>
    <w:pPr>
      <w:keepNext/>
      <w:keepLines/>
      <w:spacing w:before="40" w:line="259" w:lineRule="auto"/>
      <w:jc w:val="left"/>
      <w:outlineLvl w:val="5"/>
    </w:pPr>
    <w:rPr>
      <w:rFonts w:eastAsiaTheme="majorEastAsia" w:cstheme="majorBidi"/>
      <w:i/>
      <w:iCs/>
      <w:color w:val="595959" w:themeColor="text1" w:themeTint="A6"/>
      <w:kern w:val="2"/>
      <w:lang w:val="en-US"/>
      <w14:ligatures w14:val="standardContextual"/>
    </w:rPr>
  </w:style>
  <w:style w:type="paragraph" w:styleId="Titolo7">
    <w:name w:val="heading 7"/>
    <w:basedOn w:val="Normale"/>
    <w:next w:val="Normale"/>
    <w:link w:val="Titolo7Carattere"/>
    <w:uiPriority w:val="9"/>
    <w:semiHidden/>
    <w:unhideWhenUsed/>
    <w:qFormat/>
    <w:rsid w:val="008302F2"/>
    <w:pPr>
      <w:keepNext/>
      <w:keepLines/>
      <w:spacing w:before="40" w:line="259" w:lineRule="auto"/>
      <w:jc w:val="left"/>
      <w:outlineLvl w:val="6"/>
    </w:pPr>
    <w:rPr>
      <w:rFonts w:eastAsiaTheme="majorEastAsia" w:cstheme="majorBidi"/>
      <w:color w:val="595959" w:themeColor="text1" w:themeTint="A6"/>
      <w:kern w:val="2"/>
      <w:lang w:val="en-US"/>
      <w14:ligatures w14:val="standardContextual"/>
    </w:rPr>
  </w:style>
  <w:style w:type="paragraph" w:styleId="Titolo8">
    <w:name w:val="heading 8"/>
    <w:basedOn w:val="Normale"/>
    <w:next w:val="Normale"/>
    <w:link w:val="Titolo8Carattere"/>
    <w:uiPriority w:val="9"/>
    <w:semiHidden/>
    <w:unhideWhenUsed/>
    <w:qFormat/>
    <w:rsid w:val="008302F2"/>
    <w:pPr>
      <w:keepNext/>
      <w:keepLines/>
      <w:spacing w:line="259" w:lineRule="auto"/>
      <w:jc w:val="left"/>
      <w:outlineLvl w:val="7"/>
    </w:pPr>
    <w:rPr>
      <w:rFonts w:eastAsiaTheme="majorEastAsia" w:cstheme="majorBidi"/>
      <w:i/>
      <w:iCs/>
      <w:color w:val="272727" w:themeColor="text1" w:themeTint="D8"/>
      <w:kern w:val="2"/>
      <w:lang w:val="en-US"/>
      <w14:ligatures w14:val="standardContextual"/>
    </w:rPr>
  </w:style>
  <w:style w:type="paragraph" w:styleId="Titolo9">
    <w:name w:val="heading 9"/>
    <w:basedOn w:val="Normale"/>
    <w:next w:val="Normale"/>
    <w:link w:val="Titolo9Carattere"/>
    <w:uiPriority w:val="9"/>
    <w:semiHidden/>
    <w:unhideWhenUsed/>
    <w:qFormat/>
    <w:rsid w:val="008302F2"/>
    <w:pPr>
      <w:keepNext/>
      <w:keepLines/>
      <w:spacing w:line="259" w:lineRule="auto"/>
      <w:jc w:val="left"/>
      <w:outlineLvl w:val="8"/>
    </w:pPr>
    <w:rPr>
      <w:rFonts w:eastAsiaTheme="majorEastAsia" w:cstheme="majorBidi"/>
      <w:color w:val="272727" w:themeColor="text1" w:themeTint="D8"/>
      <w:kern w:val="2"/>
      <w:lang w:val="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02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302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302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302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302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302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02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02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02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02F2"/>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oloCarattere">
    <w:name w:val="Titolo Carattere"/>
    <w:basedOn w:val="Carpredefinitoparagrafo"/>
    <w:link w:val="Titolo"/>
    <w:uiPriority w:val="10"/>
    <w:rsid w:val="008302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02F2"/>
    <w:pPr>
      <w:numPr>
        <w:ilvl w:val="1"/>
      </w:numPr>
      <w:spacing w:after="160" w:line="259" w:lineRule="auto"/>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ottotitoloCarattere">
    <w:name w:val="Sottotitolo Carattere"/>
    <w:basedOn w:val="Carpredefinitoparagrafo"/>
    <w:link w:val="Sottotitolo"/>
    <w:uiPriority w:val="11"/>
    <w:rsid w:val="008302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02F2"/>
    <w:pPr>
      <w:spacing w:before="160" w:after="160" w:line="259" w:lineRule="auto"/>
      <w:jc w:val="center"/>
    </w:pPr>
    <w:rPr>
      <w:i/>
      <w:iCs/>
      <w:color w:val="404040" w:themeColor="text1" w:themeTint="BF"/>
      <w:kern w:val="2"/>
      <w:lang w:val="en-US"/>
      <w14:ligatures w14:val="standardContextual"/>
    </w:rPr>
  </w:style>
  <w:style w:type="character" w:customStyle="1" w:styleId="CitazioneCarattere">
    <w:name w:val="Citazione Carattere"/>
    <w:basedOn w:val="Carpredefinitoparagrafo"/>
    <w:link w:val="Citazione"/>
    <w:uiPriority w:val="29"/>
    <w:rsid w:val="008302F2"/>
    <w:rPr>
      <w:i/>
      <w:iCs/>
      <w:color w:val="404040" w:themeColor="text1" w:themeTint="BF"/>
    </w:rPr>
  </w:style>
  <w:style w:type="paragraph" w:styleId="Paragrafoelenco">
    <w:name w:val="List Paragraph"/>
    <w:basedOn w:val="Normale"/>
    <w:uiPriority w:val="34"/>
    <w:qFormat/>
    <w:rsid w:val="008302F2"/>
    <w:pPr>
      <w:spacing w:after="160" w:line="259" w:lineRule="auto"/>
      <w:ind w:left="720"/>
      <w:contextualSpacing/>
      <w:jc w:val="left"/>
    </w:pPr>
    <w:rPr>
      <w:kern w:val="2"/>
      <w:lang w:val="en-US"/>
      <w14:ligatures w14:val="standardContextual"/>
    </w:rPr>
  </w:style>
  <w:style w:type="character" w:styleId="Enfasiintensa">
    <w:name w:val="Intense Emphasis"/>
    <w:basedOn w:val="Carpredefinitoparagrafo"/>
    <w:uiPriority w:val="21"/>
    <w:qFormat/>
    <w:rsid w:val="008302F2"/>
    <w:rPr>
      <w:i/>
      <w:iCs/>
      <w:color w:val="0F4761" w:themeColor="accent1" w:themeShade="BF"/>
    </w:rPr>
  </w:style>
  <w:style w:type="paragraph" w:styleId="Citazioneintensa">
    <w:name w:val="Intense Quote"/>
    <w:basedOn w:val="Normale"/>
    <w:next w:val="Normale"/>
    <w:link w:val="CitazioneintensaCarattere"/>
    <w:uiPriority w:val="30"/>
    <w:qFormat/>
    <w:rsid w:val="008302F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CitazioneintensaCarattere">
    <w:name w:val="Citazione intensa Carattere"/>
    <w:basedOn w:val="Carpredefinitoparagrafo"/>
    <w:link w:val="Citazioneintensa"/>
    <w:uiPriority w:val="30"/>
    <w:rsid w:val="008302F2"/>
    <w:rPr>
      <w:i/>
      <w:iCs/>
      <w:color w:val="0F4761" w:themeColor="accent1" w:themeShade="BF"/>
    </w:rPr>
  </w:style>
  <w:style w:type="character" w:styleId="Riferimentointenso">
    <w:name w:val="Intense Reference"/>
    <w:basedOn w:val="Carpredefinitoparagrafo"/>
    <w:uiPriority w:val="32"/>
    <w:qFormat/>
    <w:rsid w:val="00830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dpg2001@gmail.com</dc:creator>
  <cp:keywords/>
  <dc:description/>
  <cp:lastModifiedBy>dpg2001@gmail.com</cp:lastModifiedBy>
  <cp:revision>1</cp:revision>
  <dcterms:created xsi:type="dcterms:W3CDTF">2024-04-08T07:08:00Z</dcterms:created>
  <dcterms:modified xsi:type="dcterms:W3CDTF">2024-04-08T07:11:00Z</dcterms:modified>
</cp:coreProperties>
</file>